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22E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p>
    <w:p w14:paraId="5244334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简体" w:hAnsi="方正小标宋简体" w:eastAsia="方正小标宋简体" w:cs="方正小标宋简体"/>
          <w:sz w:val="44"/>
          <w:szCs w:val="44"/>
        </w:rPr>
      </w:pPr>
    </w:p>
    <w:p w14:paraId="118F0900">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EABE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p>
    <w:p w14:paraId="0D8EDFF2">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52B7868">
      <w:pPr>
        <w:pStyle w:val="2"/>
      </w:pPr>
    </w:p>
    <w:p w14:paraId="4275D2AE"/>
    <w:p w14:paraId="551270E0"/>
    <w:p w14:paraId="4848D404">
      <w:pPr>
        <w:pStyle w:val="2"/>
      </w:pPr>
    </w:p>
    <w:p w14:paraId="11E43A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1"/>
          <w:rFonts w:hAnsi="Times New Roman" w:cs="仿宋_GB2312"/>
        </w:rPr>
      </w:pPr>
      <w:r>
        <w:rPr>
          <w:rStyle w:val="11"/>
          <w:rFonts w:hint="eastAsia" w:cs="仿宋_GB2312"/>
        </w:rPr>
        <w:t>永外政〔</w:t>
      </w:r>
      <w:r>
        <w:rPr>
          <w:rStyle w:val="11"/>
          <w:rFonts w:cs="仿宋_GB2312"/>
        </w:rPr>
        <w:t>2025</w:t>
      </w:r>
      <w:r>
        <w:rPr>
          <w:rStyle w:val="11"/>
          <w:rFonts w:hint="eastAsia" w:cs="仿宋_GB2312"/>
        </w:rPr>
        <w:t>〕</w:t>
      </w:r>
      <w:r>
        <w:rPr>
          <w:rStyle w:val="11"/>
          <w:rFonts w:hint="eastAsia" w:cs="仿宋_GB2312"/>
          <w:lang w:val="en-US" w:eastAsia="zh-CN"/>
        </w:rPr>
        <w:t>21</w:t>
      </w:r>
      <w:r>
        <w:rPr>
          <w:rStyle w:val="11"/>
          <w:rFonts w:hint="eastAsia" w:cs="仿宋_GB2312"/>
        </w:rPr>
        <w:t>号</w:t>
      </w:r>
    </w:p>
    <w:p w14:paraId="49617758">
      <w:pPr>
        <w:keepNext w:val="0"/>
        <w:keepLines w:val="0"/>
        <w:pageBreakBefore w:val="0"/>
        <w:widowControl w:val="0"/>
        <w:kinsoku/>
        <w:wordWrap/>
        <w:overflowPunct/>
        <w:topLinePunct w:val="0"/>
        <w:autoSpaceDE/>
        <w:autoSpaceDN/>
        <w:bidi w:val="0"/>
        <w:adjustRightInd/>
        <w:snapToGrid/>
        <w:spacing w:line="560" w:lineRule="exact"/>
        <w:textAlignment w:val="auto"/>
        <w:rPr>
          <w:rStyle w:val="12"/>
          <w:rFonts w:hAnsi="Times New Roman"/>
        </w:rPr>
      </w:pPr>
    </w:p>
    <w:p w14:paraId="15461B7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eastAsia="方正小标宋简体"/>
          <w:sz w:val="52"/>
          <w:szCs w:val="52"/>
        </w:rPr>
      </w:pPr>
      <w:r>
        <w:rPr>
          <w:rFonts w:hint="eastAsia" w:ascii="方正小标宋简体" w:eastAsia="方正小标宋简体"/>
          <w:sz w:val="44"/>
          <w:szCs w:val="44"/>
        </w:rPr>
        <w:t>外山乡人民政府关于印发</w:t>
      </w:r>
      <w:r>
        <w:rPr>
          <w:rFonts w:ascii="方正小标宋简体" w:eastAsia="方正小标宋简体"/>
          <w:sz w:val="44"/>
          <w:szCs w:val="44"/>
        </w:rPr>
        <w:t>2025</w:t>
      </w:r>
      <w:r>
        <w:rPr>
          <w:rFonts w:hint="eastAsia" w:ascii="方正小标宋简体" w:eastAsia="方正小标宋简体"/>
          <w:sz w:val="44"/>
          <w:szCs w:val="44"/>
        </w:rPr>
        <w:t>年安全生产工作要点的通知</w:t>
      </w:r>
    </w:p>
    <w:p w14:paraId="224CA5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rPr>
      </w:pPr>
    </w:p>
    <w:p w14:paraId="1E8361E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s="仿宋_GB2312"/>
        </w:rPr>
      </w:pPr>
      <w:r>
        <w:rPr>
          <w:rFonts w:hint="eastAsia" w:ascii="仿宋_GB2312" w:hAnsi="仿宋_GB2312" w:cs="仿宋_GB2312"/>
        </w:rPr>
        <w:t>各村委会，乡直各单位：</w:t>
      </w:r>
      <w:r>
        <w:rPr>
          <w:rFonts w:ascii="仿宋_GB2312" w:hAnsi="仿宋_GB2312" w:cs="仿宋_GB2312"/>
        </w:rPr>
        <w:t xml:space="preserve"> </w:t>
      </w:r>
    </w:p>
    <w:p w14:paraId="75465713">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outlineLvl w:val="0"/>
        <w:rPr>
          <w:rFonts w:ascii="仿宋_GB2312" w:cs="仿宋_GB2312"/>
        </w:rPr>
      </w:pPr>
      <w:r>
        <w:rPr>
          <w:rFonts w:hint="eastAsia" w:ascii="仿宋_GB2312" w:hAnsi="仿宋_GB2312" w:cs="仿宋_GB2312"/>
        </w:rPr>
        <w:t>现将《外山乡</w:t>
      </w:r>
      <w:r>
        <w:rPr>
          <w:rFonts w:ascii="仿宋_GB2312" w:hAnsi="仿宋_GB2312" w:cs="仿宋_GB2312"/>
        </w:rPr>
        <w:t>2025</w:t>
      </w:r>
      <w:r>
        <w:rPr>
          <w:rFonts w:hint="eastAsia" w:ascii="仿宋_GB2312" w:hAnsi="仿宋_GB2312" w:cs="仿宋_GB2312"/>
        </w:rPr>
        <w:t>年安全生产工作要点》印发给你们，请结合实际，明确责任分工，抓好贯彻落实，认真组织实施。</w:t>
      </w:r>
    </w:p>
    <w:p w14:paraId="7B2D4218">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p>
    <w:p w14:paraId="50E46D7C">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p>
    <w:p w14:paraId="25F2FBB2">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14:paraId="244495EF">
      <w:pPr>
        <w:keepNext w:val="0"/>
        <w:keepLines w:val="0"/>
        <w:pageBreakBefore w:val="0"/>
        <w:widowControl w:val="0"/>
        <w:kinsoku/>
        <w:wordWrap/>
        <w:overflowPunct/>
        <w:topLinePunct w:val="0"/>
        <w:autoSpaceDE/>
        <w:autoSpaceDN/>
        <w:bidi w:val="0"/>
        <w:adjustRightInd/>
        <w:snapToGrid/>
        <w:spacing w:line="560" w:lineRule="exact"/>
        <w:ind w:firstLine="4864" w:firstLineChars="1600"/>
        <w:jc w:val="center"/>
        <w:textAlignment w:val="auto"/>
        <w:rPr>
          <w:rFonts w:ascii="仿宋_GB2312" w:cs="仿宋_GB2312"/>
        </w:rPr>
      </w:pPr>
      <w:r>
        <w:rPr>
          <w:rFonts w:hint="eastAsia" w:ascii="仿宋_GB2312" w:hAnsi="仿宋_GB2312" w:cs="仿宋_GB2312"/>
        </w:rPr>
        <w:t>外山乡人民政府</w:t>
      </w:r>
    </w:p>
    <w:p w14:paraId="75241279">
      <w:pPr>
        <w:keepNext w:val="0"/>
        <w:keepLines w:val="0"/>
        <w:pageBreakBefore w:val="0"/>
        <w:widowControl w:val="0"/>
        <w:kinsoku/>
        <w:wordWrap/>
        <w:overflowPunct/>
        <w:topLinePunct w:val="0"/>
        <w:autoSpaceDE/>
        <w:autoSpaceDN/>
        <w:bidi w:val="0"/>
        <w:adjustRightInd/>
        <w:snapToGrid/>
        <w:spacing w:line="560" w:lineRule="exact"/>
        <w:ind w:firstLine="4864" w:firstLineChars="1600"/>
        <w:jc w:val="center"/>
        <w:textAlignment w:val="auto"/>
        <w:rPr>
          <w:rFonts w:ascii="仿宋_GB2312" w:cs="仿宋_GB2312"/>
        </w:rPr>
      </w:pPr>
      <w:r>
        <w:rPr>
          <w:rFonts w:ascii="仿宋_GB2312" w:hAnsi="仿宋_GB2312" w:cs="仿宋_GB2312"/>
        </w:rPr>
        <w:t xml:space="preserve"> 2025</w:t>
      </w:r>
      <w:r>
        <w:rPr>
          <w:rFonts w:hint="eastAsia" w:ascii="仿宋_GB2312" w:hAnsi="仿宋_GB2312" w:cs="仿宋_GB2312"/>
        </w:rPr>
        <w:t>年</w:t>
      </w:r>
      <w:r>
        <w:rPr>
          <w:rFonts w:ascii="仿宋_GB2312" w:hAnsi="仿宋_GB2312" w:cs="仿宋_GB2312"/>
        </w:rPr>
        <w:t>5</w:t>
      </w:r>
      <w:r>
        <w:rPr>
          <w:rFonts w:hint="eastAsia" w:ascii="仿宋_GB2312" w:hAnsi="仿宋_GB2312" w:cs="仿宋_GB2312"/>
        </w:rPr>
        <w:t>月</w:t>
      </w:r>
      <w:r>
        <w:rPr>
          <w:rFonts w:ascii="仿宋_GB2312" w:hAnsi="仿宋_GB2312" w:cs="仿宋_GB2312"/>
        </w:rPr>
        <w:t>22</w:t>
      </w:r>
      <w:r>
        <w:rPr>
          <w:rFonts w:hint="eastAsia" w:ascii="仿宋_GB2312" w:hAnsi="仿宋_GB2312" w:cs="仿宋_GB2312"/>
        </w:rPr>
        <w:t>日</w:t>
      </w:r>
    </w:p>
    <w:p w14:paraId="32F974A3">
      <w:pPr>
        <w:keepNext w:val="0"/>
        <w:keepLines w:val="0"/>
        <w:pageBreakBefore w:val="0"/>
        <w:widowControl w:val="0"/>
        <w:kinsoku/>
        <w:wordWrap/>
        <w:overflowPunct/>
        <w:topLinePunct w:val="0"/>
        <w:autoSpaceDE/>
        <w:autoSpaceDN/>
        <w:bidi w:val="0"/>
        <w:adjustRightInd/>
        <w:snapToGrid/>
        <w:spacing w:line="560" w:lineRule="exact"/>
        <w:ind w:firstLine="4864" w:firstLineChars="1600"/>
        <w:jc w:val="center"/>
        <w:textAlignment w:val="auto"/>
        <w:rPr>
          <w:rFonts w:ascii="仿宋_GB2312" w:cs="仿宋_GB2312"/>
        </w:rPr>
      </w:pPr>
    </w:p>
    <w:p w14:paraId="02150805">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简体" w:hAnsi="方正小标宋简体" w:eastAsia="方正小标宋简体" w:cs="方正小标宋简体"/>
          <w:sz w:val="44"/>
          <w:szCs w:val="44"/>
        </w:rPr>
      </w:pPr>
    </w:p>
    <w:p w14:paraId="6123F0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外山乡</w:t>
      </w:r>
      <w:r>
        <w:rPr>
          <w:rFonts w:ascii="方正小标宋简体" w:hAnsi="方正小标宋简体" w:eastAsia="方正小标宋简体" w:cs="方正小标宋简体"/>
          <w:sz w:val="44"/>
          <w:szCs w:val="44"/>
        </w:rPr>
        <w:t>2025</w:t>
      </w:r>
      <w:r>
        <w:rPr>
          <w:rFonts w:hint="eastAsia" w:ascii="方正小标宋简体" w:hAnsi="方正小标宋简体" w:eastAsia="方正小标宋简体" w:cs="方正小标宋简体"/>
          <w:sz w:val="44"/>
          <w:szCs w:val="44"/>
        </w:rPr>
        <w:t>年安全生产工作要点</w:t>
      </w:r>
    </w:p>
    <w:p w14:paraId="26000CC8">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14:paraId="194C8CCE">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ascii="仿宋_GB2312" w:hAnsi="仿宋_GB2312" w:cs="仿宋_GB2312"/>
        </w:rPr>
        <w:t>2025</w:t>
      </w:r>
      <w:r>
        <w:rPr>
          <w:rFonts w:hint="eastAsia" w:ascii="仿宋_GB2312" w:hAnsi="仿宋_GB2312" w:cs="仿宋_GB2312"/>
        </w:rPr>
        <w:t>年全乡安全生产的主要任务是：深入学习贯彻落实党的二十大和二十届二中、三中全会精神和习近平总书记关于安全生产、应急管理的重要指示批示精神，落实党中央、国务院、省委省政府和市委市政府的决策部署，按照市政府安委会和县委、县政府的部署要求，坚持人民至上、生命至上，坚持求真务实、改革创新，更好统筹发展和安全，持续深入开展安全生产治本攻坚三年行动，聚焦道路交通、建筑施工、危化品、消防等高风险领域，实施隐患动态清零机制，强化重点行业领域治理，特别是加强电动自行车安全、人员密集场所动火作业整治工作，全面落实企业安全生产标准化创建提升和全员安全生产责任制，推动安全责任落实到具体场景、具体岗位、具体人员。全乡安全生产基层基础更加夯实，安全生产形势更加平稳，有效防范较大事故、坚决遏制重特大事故发生，切实保障人民群众生命财产安全和社会大局稳定。</w:t>
      </w:r>
    </w:p>
    <w:p w14:paraId="2ED97D74">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一、统筹高质量发展与高水平安全协同推进。</w:t>
      </w:r>
      <w:r>
        <w:rPr>
          <w:rFonts w:hint="eastAsia" w:ascii="仿宋_GB2312" w:hAnsi="仿宋_GB2312" w:cs="仿宋_GB2312"/>
        </w:rPr>
        <w:t>推动将习近平总书记关于安全生产重要论述</w:t>
      </w:r>
      <w:r>
        <w:rPr>
          <w:rFonts w:hint="eastAsia" w:ascii="仿宋_GB2312"/>
        </w:rPr>
        <w:t>作为党委宣传工作重点</w:t>
      </w:r>
      <w:r>
        <w:rPr>
          <w:rFonts w:hint="eastAsia" w:ascii="仿宋_GB2312" w:hAnsi="仿宋_GB2312" w:cs="仿宋_GB2312"/>
        </w:rPr>
        <w:t>，结合实际组织学习贯彻落实；严格执行“党政同责、一岗双责、齐抓共管、失职追责”“管行业必须管安全、管业务必须管安全、管生产经营必须管安全”总体要求，压紧压实企业主体责任“五个到位”</w:t>
      </w:r>
      <w:r>
        <w:rPr>
          <w:rFonts w:hint="eastAsia" w:ascii="楷体_GB2312" w:hAnsi="楷体_GB2312" w:eastAsia="楷体_GB2312" w:cs="楷体_GB2312"/>
          <w:sz w:val="28"/>
          <w:szCs w:val="28"/>
        </w:rPr>
        <w:t>（安全责任到位、安全投入到位、安全培训到位、基础管理到位、应急救援到位）</w:t>
      </w:r>
      <w:r>
        <w:rPr>
          <w:rFonts w:hint="eastAsia" w:ascii="仿宋_GB2312" w:hAnsi="仿宋_GB2312" w:cs="仿宋_GB2312"/>
        </w:rPr>
        <w:t>，严守发展安全底线；推行领导干部安全生产“职责清单</w:t>
      </w:r>
      <w:r>
        <w:rPr>
          <w:rFonts w:ascii="仿宋_GB2312" w:hAnsi="仿宋_GB2312" w:cs="仿宋_GB2312"/>
        </w:rPr>
        <w:t>+</w:t>
      </w:r>
      <w:r>
        <w:rPr>
          <w:rFonts w:hint="eastAsia" w:ascii="仿宋_GB2312" w:hAnsi="仿宋_GB2312" w:cs="仿宋_GB2312"/>
        </w:rPr>
        <w:t>年度任务清单”双轨制，建立重点问题会商督办闭环机制，确保安全发展贯穿经济社会发展全过程。（安办牵头，各有关部门分工负责）</w:t>
      </w:r>
    </w:p>
    <w:p w14:paraId="2DFD2933">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二、全面推进安全生产治本攻坚三年行动落地见效。</w:t>
      </w:r>
      <w:r>
        <w:rPr>
          <w:rFonts w:hint="eastAsia" w:ascii="仿宋_GB2312" w:hAnsi="仿宋_GB2312" w:cs="仿宋_GB2312"/>
        </w:rPr>
        <w:t>持续推进治本攻坚“十大行动”，实施治本攻坚三年行动质效评估；重点做好畅通消防“生命通道”、企业从业人员安全培训、重大事故隐患清零等重点任务，将学好用好重大事故隐患判定标准作为精准执法和行业管理的重要手段；持续开展重大事故隐患动态清零行动，各有关部门要督促企业健全重大事故隐患自查自改常态化机制，企业主动向有关监管部门报告重大事故隐患并正在落实整改措施的，免予行政处罚，不查不改的，依法上报上级有关行业主管部门给予从严处罚；落实重大事故隐患举报奖励制度，采用线上线下相结合宣传模式，扩大宣传覆盖率，不断健全企业内部“吹哨人”保护制度，对群众举报并经核实属实的重大事故隐患举报线索，及时兑现奖励和保护举报人个人隐私等措施；推进安全生产基础设施更新改造升级，加快安全生产领域大规模设备更新。（安办牵头，各有关部门分工负责）</w:t>
      </w:r>
    </w:p>
    <w:p w14:paraId="1407562B">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三、筑牢安全生产风险传导阻断屏障。</w:t>
      </w:r>
      <w:r>
        <w:rPr>
          <w:rFonts w:hint="eastAsia" w:ascii="仿宋_GB2312" w:hAnsi="仿宋_GB2312" w:cs="仿宋_GB2312"/>
        </w:rPr>
        <w:t>统筹推进安全生产和自然灾害风险隐患排查整治专项工作，聚焦群众身边安全隐患，紧盯重点时段、重点场所部位和敏感人群等开展全面排查治理，着力防范化解涉及公共安全的风险隐患；不断健全完善新行业新领域安全监管，推动各村各单位建立健全相关风险隐患防范处置工作机制；稳妥做好事故现场处置和遇难者家属、受伤人员安抚善后工作；配合上级有关部门严肃开展事故调查，科学查明原因，依规依纪依法严肃追责问责；做好安全生产领域信访维稳工作。（安办牵头，各有关部门分工负责）</w:t>
      </w:r>
    </w:p>
    <w:p w14:paraId="1E690C30">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四、持续推进畅通消防“生命通道”。</w:t>
      </w:r>
      <w:r>
        <w:rPr>
          <w:rFonts w:hint="eastAsia" w:ascii="仿宋_GB2312" w:hAnsi="仿宋_GB2312" w:cs="仿宋_GB2312"/>
        </w:rPr>
        <w:t>落实《外山乡打通消防“生命通道”行动实施方案》，重点整治占用、堵塞、封闭疏散通道、安全出口、消防车通道，人员密集场所门窗设置影响逃生和灭火救援的障碍物等突出问题隐患，深化人员密集场所、九小场所等重点场所“拆窗破网”攻坚行动；及时纠治锁闭安全出口、占堵疏散通道等违法行为；开展科普宣传，强化案例警示宣传和违法行为曝光；推广运用科技信息化手段，提高违规安装防盗窗、占用消防车通道整治质效。（消防工作站牵头，民政办、村镇站、文化站、卫健办等有关部门分工负责）</w:t>
      </w:r>
    </w:p>
    <w:p w14:paraId="57435FEB">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五、加强危险化学品安全整治。</w:t>
      </w:r>
      <w:r>
        <w:rPr>
          <w:rFonts w:hint="eastAsia" w:ascii="仿宋_GB2312" w:hAnsi="仿宋_GB2312" w:cs="仿宋_GB2312"/>
        </w:rPr>
        <w:t>强化对辖区内加油站安全监管；开展烟花爆竹经营店突出问题专项整治。（安办牵头，消防工作站派出所分工负责）</w:t>
      </w:r>
    </w:p>
    <w:p w14:paraId="1FFD76AC">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六、深化燃气安全专项整治。</w:t>
      </w:r>
      <w:r>
        <w:rPr>
          <w:rFonts w:hint="eastAsia" w:ascii="仿宋_GB2312" w:hAnsi="仿宋_GB2312" w:cs="仿宋_GB2312"/>
        </w:rPr>
        <w:t>强化餐饮场所和经营性自建房燃气安全工作管理，持续加强宣传教育，普及燃气安全使用和应急处置知识。（村镇站牵头，派出所、消防工作站分工负责）</w:t>
      </w:r>
    </w:p>
    <w:p w14:paraId="05E45AA2">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七、持续开展电动自行车安全全链条整治。</w:t>
      </w:r>
      <w:r>
        <w:rPr>
          <w:rFonts w:hint="eastAsia" w:ascii="仿宋_GB2312" w:hAnsi="仿宋_GB2312" w:cs="仿宋_GB2312"/>
        </w:rPr>
        <w:t>加大维修店铺抽查检查频次，严厉打击非法拼改装、制假售假等行为；严查电动车入户、堵塞消防通道、超载、超速等违法行为；严格执行电动自行车事故全链条溯源调查机制，加强电动自行车火灾及交通事故全链条溯源调查。（消防工作站牵头，派出所、安办等有关部门分工负责）</w:t>
      </w:r>
    </w:p>
    <w:p w14:paraId="367E4EA8">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八、开展人员密集场所动火作业安全整治。</w:t>
      </w:r>
      <w:r>
        <w:rPr>
          <w:rFonts w:hint="eastAsia" w:ascii="仿宋_GB2312" w:hAnsi="仿宋_GB2312" w:cs="仿宋_GB2312"/>
        </w:rPr>
        <w:t>严格落实关于加强人员密集场所动火作业安全管理的若干措施；推动有关单位落实动火作业安全主体责任，执行动火作业内部审批制度；将各类动火作业严重违规情形纳入有关行业领域重大事故隐患判定标准；深化“互联网</w:t>
      </w:r>
      <w:r>
        <w:rPr>
          <w:rFonts w:ascii="仿宋_GB2312" w:hAnsi="仿宋_GB2312" w:cs="仿宋_GB2312"/>
        </w:rPr>
        <w:t>+</w:t>
      </w:r>
      <w:r>
        <w:rPr>
          <w:rFonts w:hint="eastAsia" w:ascii="仿宋_GB2312" w:hAnsi="仿宋_GB2312" w:cs="仿宋_GB2312"/>
        </w:rPr>
        <w:t>特种作业人员综合管理服务”系统应用，严格动火作业等特种作业人员培训和持证上岗。（安办、村镇站牵头，教育、文化站、卫健办、消防工作站等有关部门分工负责）</w:t>
      </w:r>
    </w:p>
    <w:p w14:paraId="1A8D3EEB">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九、开展建筑保温材料全链条安全整治。</w:t>
      </w:r>
      <w:r>
        <w:rPr>
          <w:rFonts w:hint="eastAsia" w:ascii="仿宋_GB2312" w:hAnsi="仿宋_GB2312" w:cs="仿宋_GB2312"/>
        </w:rPr>
        <w:t>开展建筑保温材料安全隐患全链条整治，加大冷库建设过程安全监管力度，强化使用环节多部门协同监管；强力推广新型隔热阻燃材料。（村镇站、消防工作站牵头，文化中心站、安办等有关部门分工负责）</w:t>
      </w:r>
    </w:p>
    <w:p w14:paraId="1DF52357">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十、重点加强道路交通安全监管。</w:t>
      </w:r>
      <w:r>
        <w:rPr>
          <w:rFonts w:hint="eastAsia" w:ascii="仿宋_GB2312" w:hAnsi="仿宋_GB2312" w:cs="仿宋_GB2312"/>
        </w:rPr>
        <w:t>持续深化道路交通事故预防“减量控大”工作，严管“两客一危一货一面”等重点车辆，严查“三超一疲劳”等重点违法行为；深入推进公路安全设施和交通秩序管理精细化提升行动；深入排查整治公路桥隧、公路临水临崖、急弯陡坡、交叉路口、马路市场以及寺庙、景区、校园周边道路等重点部位安全隐患（教育、派出所、道安办、农业综合服务中心、文化站等有关部门分工负责）。</w:t>
      </w:r>
    </w:p>
    <w:p w14:paraId="40DECD9E">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十一、强化建设工程施工安全监管。</w:t>
      </w:r>
      <w:r>
        <w:rPr>
          <w:rFonts w:hint="eastAsia" w:ascii="仿宋_GB2312" w:hAnsi="仿宋_GB2312" w:cs="仿宋_GB2312"/>
        </w:rPr>
        <w:t>落实建设单位工程质量安全主体责任，督促施工总承包单位对施工现场安全生产负总责，以起重机械、高支模、深基坑、脚手架、隧道等危险性较大的分部分项工程和有限空间作业为重点开展重大事故隐患排查整治，严格落实施工图设计文件和专项施工方案，严厉打击施工和设计勘察等转包、违法分包行为；按照全生命周期管理要求，加强公路等重大基础设施工程施工安全管理。（村镇站、道安办、水利站等有关部门分工负责）</w:t>
      </w:r>
    </w:p>
    <w:p w14:paraId="421E4BA2">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十二、强化工贸、文化和旅游等行业领域安全监管。</w:t>
      </w:r>
      <w:r>
        <w:rPr>
          <w:rFonts w:hint="eastAsia" w:ascii="仿宋_GB2312" w:hAnsi="仿宋_GB2312" w:cs="仿宋_GB2312"/>
        </w:rPr>
        <w:t>重点加强我乡</w:t>
      </w:r>
      <w:r>
        <w:rPr>
          <w:rFonts w:ascii="仿宋_GB2312" w:hAnsi="仿宋_GB2312" w:cs="仿宋_GB2312"/>
        </w:rPr>
        <w:t>1</w:t>
      </w:r>
      <w:r>
        <w:rPr>
          <w:rFonts w:hint="eastAsia" w:ascii="仿宋_GB2312" w:hAnsi="仿宋_GB2312" w:cs="仿宋_GB2312"/>
        </w:rPr>
        <w:t>家涉及有限空间作业的工贸重点行业领域企业的安全监管（安办负责）。加强文化旅游和宗教活动场所安全管理（文化站、民宗分工负责）。</w:t>
      </w:r>
    </w:p>
    <w:p w14:paraId="31CA2CD0">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方正楷体简体" w:hAnsi="方正楷体简体" w:eastAsia="方正楷体简体" w:cs="方正楷体简体"/>
        </w:rPr>
      </w:pPr>
      <w:r>
        <w:rPr>
          <w:rFonts w:hint="eastAsia" w:ascii="黑体" w:hAnsi="黑体" w:eastAsia="黑体" w:cs="黑体"/>
        </w:rPr>
        <w:t>十三、强化安全生产标准化提升和全员岗位安全生产责任制。</w:t>
      </w:r>
      <w:r>
        <w:rPr>
          <w:rFonts w:hint="eastAsia" w:ascii="仿宋_GB2312" w:hAnsi="仿宋_GB2312" w:cs="仿宋_GB2312"/>
        </w:rPr>
        <w:t>持续深化落实企业全员安全生产责任制和安全生产标准化提升专项行动。突出以“全员落实、全过程控制、全方位深化、全要素提升”为目标导向，以“</w:t>
      </w:r>
      <w:r>
        <w:rPr>
          <w:rFonts w:ascii="仿宋_GB2312" w:hAnsi="仿宋_GB2312" w:cs="仿宋_GB2312"/>
        </w:rPr>
        <w:t>1+5</w:t>
      </w:r>
      <w:r>
        <w:rPr>
          <w:rFonts w:hint="eastAsia" w:ascii="仿宋_GB2312" w:hAnsi="仿宋_GB2312" w:cs="仿宋_GB2312"/>
        </w:rPr>
        <w:t>”为主体推动标准化工作常态化机制建设、运用“</w:t>
      </w:r>
      <w:r>
        <w:rPr>
          <w:rFonts w:ascii="仿宋_GB2312" w:hAnsi="仿宋_GB2312" w:cs="仿宋_GB2312"/>
        </w:rPr>
        <w:t>33456</w:t>
      </w:r>
      <w:r>
        <w:rPr>
          <w:rFonts w:hint="eastAsia" w:ascii="仿宋_GB2312" w:hAnsi="仿宋_GB2312" w:cs="仿宋_GB2312"/>
        </w:rPr>
        <w:t>”工作法提升标准化建设质量，聚焦《企业安全生产标准化基本规范》，完善“一套标准规范”，狠抓主要负责人、安全管理员“两个关键少数”，健全属地党政同责、部门一岗双责、企业全员履责“三个责任体系”。（安办牵头，各有关部门分工负责）</w:t>
      </w:r>
    </w:p>
    <w:p w14:paraId="454B46A6">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eastAsia="方正仿宋简体"/>
        </w:rPr>
      </w:pPr>
      <w:r>
        <w:rPr>
          <w:rFonts w:hint="eastAsia" w:ascii="黑体" w:hAnsi="黑体" w:eastAsia="黑体" w:cs="黑体"/>
        </w:rPr>
        <w:t>十四、强化精准严格执法和指导服务。</w:t>
      </w:r>
      <w:r>
        <w:rPr>
          <w:rFonts w:hint="eastAsia" w:ascii="仿宋_GB2312" w:hAnsi="仿宋_GB2312" w:cs="仿宋_GB2312"/>
        </w:rPr>
        <w:t>开展规范涉企安全生产执法专项行动；将重大事故隐患排查整改、生产经营单位主要负责人履职等情况作为执法检查必查项；推广应用“互联网</w:t>
      </w:r>
      <w:r>
        <w:rPr>
          <w:rFonts w:ascii="仿宋_GB2312" w:hAnsi="仿宋_GB2312" w:cs="仿宋_GB2312"/>
        </w:rPr>
        <w:t>+</w:t>
      </w:r>
      <w:r>
        <w:rPr>
          <w:rFonts w:hint="eastAsia" w:ascii="仿宋_GB2312" w:hAnsi="仿宋_GB2312" w:cs="仿宋_GB2312"/>
        </w:rPr>
        <w:t>执法”、“闽企安”安全生产</w:t>
      </w:r>
      <w:r>
        <w:rPr>
          <w:rFonts w:ascii="仿宋_GB2312" w:hAnsi="仿宋_GB2312" w:cs="仿宋_GB2312"/>
        </w:rPr>
        <w:t>AI</w:t>
      </w:r>
      <w:r>
        <w:rPr>
          <w:rFonts w:hint="eastAsia" w:ascii="仿宋_GB2312" w:hAnsi="仿宋_GB2312" w:cs="仿宋_GB2312"/>
        </w:rPr>
        <w:t>助手，强化非现场监管执法措施；规范行使行政处罚裁量权，推动各地结合实际制定实施安全生产轻微违法首违不罚清单；推动加大安全生产举报奖励力度；推动辖区企业</w:t>
      </w:r>
      <w:r>
        <w:rPr>
          <w:rFonts w:ascii="仿宋_GB2312" w:hAnsi="仿宋_GB2312" w:cs="仿宋_GB2312"/>
        </w:rPr>
        <w:t>12</w:t>
      </w:r>
      <w:r>
        <w:rPr>
          <w:rFonts w:hint="eastAsia" w:ascii="仿宋_GB2312" w:hAnsi="仿宋_GB2312" w:cs="仿宋_GB2312"/>
        </w:rPr>
        <w:t>月底前建立并实施企业事故隐患内部报告奖励机制；督促指导企业按规定提取和使用安全生产费用（各有关部门分工负责）。开展危险化学品、有限空间作业重点企业指导服务（安办负责）。</w:t>
      </w:r>
    </w:p>
    <w:p w14:paraId="4A51228D">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十五、夯实安全生产基层基础。</w:t>
      </w:r>
      <w:r>
        <w:rPr>
          <w:rFonts w:hint="eastAsia" w:ascii="仿宋_GB2312" w:hAnsi="仿宋_GB2312" w:cs="仿宋_GB2312"/>
        </w:rPr>
        <w:t>结合我乡履职事项清单，指导健全工作机制，落实专门力量；将消防工作纳入基层网格化管理服务内容，加强公共消防设施建设，规范社会单位微型消防站建设；鼓励结合实际制定小单位小场所消防安全管理相关规定（消防工作站牵头，派出所、村镇站、安办等有关部门分工负责）。推动加强安全生产重点行业领域专业救援力量建设（安办、财政所等有关部门分工负责）</w:t>
      </w:r>
    </w:p>
    <w:p w14:paraId="08C1D2CC">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r>
        <w:rPr>
          <w:rFonts w:hint="eastAsia" w:ascii="黑体" w:hAnsi="黑体" w:eastAsia="黑体" w:cs="黑体"/>
        </w:rPr>
        <w:t>十六、加强教育培训和宣传引导。</w:t>
      </w:r>
      <w:r>
        <w:rPr>
          <w:rFonts w:hint="eastAsia" w:ascii="仿宋_GB2312" w:hAnsi="仿宋_GB2312" w:cs="仿宋_GB2312"/>
        </w:rPr>
        <w:t>开展全国安全生产月、消防宣传月、交通安全日、“安康杯”竞赛等活动，将安全教育纳入国民教育体系，深入推进安全宣传“四进”，营造“人人讲安全、个个会应急”的良好氛围（宣教办、派出所、安办、消防工作站、等有关部门分工负责）。</w:t>
      </w:r>
    </w:p>
    <w:p w14:paraId="177666AD">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pPr>
    </w:p>
    <w:p w14:paraId="591DBAEF">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cs="仿宋_GB2312"/>
        </w:rPr>
        <w:sectPr>
          <w:footerReference r:id="rId3" w:type="default"/>
          <w:pgSz w:w="11906" w:h="16838"/>
          <w:pgMar w:top="1440" w:right="1474" w:bottom="1440" w:left="1587" w:header="851" w:footer="992" w:gutter="0"/>
          <w:pgNumType w:fmt="numberInDash"/>
          <w:cols w:space="0" w:num="1"/>
          <w:titlePg/>
          <w:docGrid w:type="linesAndChars" w:linePitch="610" w:charSpace="-3336"/>
        </w:sectPr>
      </w:pPr>
      <w:r>
        <w:rPr>
          <w:rFonts w:hint="eastAsia" w:ascii="仿宋_GB2312" w:hAnsi="仿宋_GB2312" w:cs="仿宋_GB2312"/>
        </w:rPr>
        <w:t>附件：</w:t>
      </w:r>
      <w:r>
        <w:rPr>
          <w:rFonts w:ascii="仿宋_GB2312" w:hAnsi="仿宋_GB2312" w:cs="仿宋_GB2312"/>
        </w:rPr>
        <w:t>2025</w:t>
      </w:r>
      <w:r>
        <w:rPr>
          <w:rFonts w:hint="eastAsia" w:ascii="仿宋_GB2312" w:hAnsi="仿宋_GB2312" w:cs="仿宋_GB2312"/>
        </w:rPr>
        <w:t>年度安全生产重点任务清单</w:t>
      </w:r>
    </w:p>
    <w:p w14:paraId="5B493BB8">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rPr>
      </w:pPr>
      <w:r>
        <w:rPr>
          <w:rFonts w:hint="eastAsia" w:ascii="黑体" w:hAnsi="黑体" w:eastAsia="黑体" w:cs="黑体"/>
        </w:rPr>
        <w:t>附件</w:t>
      </w:r>
    </w:p>
    <w:p w14:paraId="33CCCF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sz w:val="44"/>
          <w:szCs w:val="44"/>
        </w:rPr>
      </w:pPr>
      <w:r>
        <w:rPr>
          <w:rFonts w:ascii="方正小标宋简体" w:hAnsi="黑体" w:eastAsia="方正小标宋简体"/>
          <w:sz w:val="44"/>
          <w:szCs w:val="44"/>
        </w:rPr>
        <w:t>2025</w:t>
      </w:r>
      <w:r>
        <w:rPr>
          <w:rFonts w:hint="eastAsia" w:ascii="方正小标宋简体" w:hAnsi="黑体" w:eastAsia="方正小标宋简体"/>
          <w:sz w:val="44"/>
          <w:szCs w:val="44"/>
        </w:rPr>
        <w:t>年度安全生产重点任务清单</w:t>
      </w:r>
    </w:p>
    <w:p w14:paraId="53B0C1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sz w:val="44"/>
          <w:szCs w:val="44"/>
        </w:rPr>
      </w:pPr>
    </w:p>
    <w:tbl>
      <w:tblPr>
        <w:tblStyle w:val="5"/>
        <w:tblW w:w="14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91"/>
        <w:gridCol w:w="1200"/>
        <w:gridCol w:w="4815"/>
        <w:gridCol w:w="1995"/>
        <w:gridCol w:w="2169"/>
      </w:tblGrid>
      <w:tr w14:paraId="3C58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870" w:type="dxa"/>
            <w:vAlign w:val="center"/>
          </w:tcPr>
          <w:p w14:paraId="27B700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rPr>
            </w:pPr>
            <w:r>
              <w:rPr>
                <w:rFonts w:hint="eastAsia" w:ascii="黑体" w:hAnsi="黑体" w:eastAsia="黑体"/>
              </w:rPr>
              <w:t>序号</w:t>
            </w:r>
          </w:p>
        </w:tc>
        <w:tc>
          <w:tcPr>
            <w:tcW w:w="3291" w:type="dxa"/>
            <w:vAlign w:val="center"/>
          </w:tcPr>
          <w:p w14:paraId="5CEE37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rPr>
            </w:pPr>
            <w:r>
              <w:rPr>
                <w:rFonts w:hint="eastAsia" w:ascii="黑体" w:hAnsi="黑体" w:eastAsia="黑体"/>
              </w:rPr>
              <w:t>名称</w:t>
            </w:r>
          </w:p>
        </w:tc>
        <w:tc>
          <w:tcPr>
            <w:tcW w:w="1200" w:type="dxa"/>
            <w:vAlign w:val="center"/>
          </w:tcPr>
          <w:p w14:paraId="43FD13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rPr>
            </w:pPr>
            <w:r>
              <w:rPr>
                <w:rFonts w:hint="eastAsia" w:ascii="黑体" w:hAnsi="黑体" w:eastAsia="黑体"/>
              </w:rPr>
              <w:t>类型</w:t>
            </w:r>
          </w:p>
        </w:tc>
        <w:tc>
          <w:tcPr>
            <w:tcW w:w="4815" w:type="dxa"/>
            <w:vAlign w:val="center"/>
          </w:tcPr>
          <w:p w14:paraId="25A66D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rPr>
            </w:pPr>
            <w:r>
              <w:rPr>
                <w:rFonts w:hint="eastAsia" w:ascii="黑体" w:hAnsi="黑体" w:eastAsia="黑体"/>
              </w:rPr>
              <w:t>年度目标</w:t>
            </w:r>
          </w:p>
        </w:tc>
        <w:tc>
          <w:tcPr>
            <w:tcW w:w="1995" w:type="dxa"/>
            <w:vAlign w:val="center"/>
          </w:tcPr>
          <w:p w14:paraId="46F8A5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rPr>
            </w:pPr>
            <w:r>
              <w:rPr>
                <w:rFonts w:hint="eastAsia" w:ascii="黑体" w:hAnsi="黑体" w:eastAsia="黑体"/>
              </w:rPr>
              <w:t>责任部门</w:t>
            </w:r>
          </w:p>
        </w:tc>
        <w:tc>
          <w:tcPr>
            <w:tcW w:w="2169" w:type="dxa"/>
            <w:vAlign w:val="center"/>
          </w:tcPr>
          <w:p w14:paraId="576E9C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rPr>
            </w:pPr>
            <w:r>
              <w:rPr>
                <w:rFonts w:hint="eastAsia" w:ascii="黑体" w:hAnsi="黑体" w:eastAsia="黑体"/>
              </w:rPr>
              <w:t>牵头乡领导</w:t>
            </w:r>
          </w:p>
        </w:tc>
      </w:tr>
      <w:tr w14:paraId="4A1F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0" w:type="dxa"/>
            <w:vAlign w:val="center"/>
          </w:tcPr>
          <w:p w14:paraId="669AE8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ascii="仿宋_GB2312" w:hAnsi="仿宋_GB2312" w:cs="仿宋_GB2312"/>
                <w:sz w:val="24"/>
                <w:szCs w:val="24"/>
              </w:rPr>
              <w:t>1</w:t>
            </w:r>
          </w:p>
        </w:tc>
        <w:tc>
          <w:tcPr>
            <w:tcW w:w="3291" w:type="dxa"/>
            <w:vAlign w:val="center"/>
          </w:tcPr>
          <w:p w14:paraId="4D1500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落实落细水利安全生产风险查找、研判、预警、防范、处置、责任“六项机制”</w:t>
            </w:r>
          </w:p>
        </w:tc>
        <w:tc>
          <w:tcPr>
            <w:tcW w:w="1200" w:type="dxa"/>
            <w:vAlign w:val="center"/>
          </w:tcPr>
          <w:p w14:paraId="02FCCDE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cs="仿宋_GB2312"/>
                <w:sz w:val="24"/>
                <w:szCs w:val="24"/>
              </w:rPr>
            </w:pPr>
            <w:r>
              <w:rPr>
                <w:rFonts w:hint="eastAsia" w:ascii="仿宋_GB2312" w:hAnsi="仿宋_GB2312" w:cs="仿宋_GB2312"/>
                <w:sz w:val="24"/>
                <w:szCs w:val="24"/>
              </w:rPr>
              <w:t>安全标准</w:t>
            </w:r>
          </w:p>
        </w:tc>
        <w:tc>
          <w:tcPr>
            <w:tcW w:w="4815" w:type="dxa"/>
            <w:vAlign w:val="center"/>
          </w:tcPr>
          <w:p w14:paraId="447AB58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s="仿宋_GB2312"/>
                <w:sz w:val="24"/>
                <w:szCs w:val="24"/>
              </w:rPr>
            </w:pPr>
            <w:r>
              <w:rPr>
                <w:rFonts w:hint="eastAsia" w:ascii="仿宋_GB2312" w:hAnsi="仿宋_GB2312" w:cs="仿宋_GB2312"/>
                <w:sz w:val="24"/>
                <w:szCs w:val="24"/>
              </w:rPr>
              <w:t>督促指导管辖范围内水利生产经营单位基本建立“六项机制”。</w:t>
            </w:r>
          </w:p>
        </w:tc>
        <w:tc>
          <w:tcPr>
            <w:tcW w:w="1995" w:type="dxa"/>
            <w:vAlign w:val="center"/>
          </w:tcPr>
          <w:p w14:paraId="44894C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水利站</w:t>
            </w:r>
          </w:p>
        </w:tc>
        <w:tc>
          <w:tcPr>
            <w:tcW w:w="2169" w:type="dxa"/>
            <w:vAlign w:val="center"/>
          </w:tcPr>
          <w:p w14:paraId="35C178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负责水利工作的领导</w:t>
            </w:r>
          </w:p>
        </w:tc>
      </w:tr>
      <w:tr w14:paraId="7202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70" w:type="dxa"/>
            <w:vAlign w:val="center"/>
          </w:tcPr>
          <w:p w14:paraId="4E9B36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ascii="仿宋_GB2312" w:hAnsi="仿宋_GB2312" w:cs="仿宋_GB2312"/>
                <w:sz w:val="24"/>
                <w:szCs w:val="24"/>
              </w:rPr>
              <w:t>2</w:t>
            </w:r>
          </w:p>
        </w:tc>
        <w:tc>
          <w:tcPr>
            <w:tcW w:w="3291" w:type="dxa"/>
            <w:vAlign w:val="center"/>
          </w:tcPr>
          <w:p w14:paraId="24D454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配合上级加快推进全县数字文物管理平台建设</w:t>
            </w:r>
          </w:p>
        </w:tc>
        <w:tc>
          <w:tcPr>
            <w:tcW w:w="1200" w:type="dxa"/>
            <w:vAlign w:val="center"/>
          </w:tcPr>
          <w:p w14:paraId="6E20EF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cs="仿宋_GB2312"/>
                <w:sz w:val="24"/>
                <w:szCs w:val="24"/>
              </w:rPr>
            </w:pPr>
            <w:r>
              <w:rPr>
                <w:rFonts w:hint="eastAsia" w:ascii="仿宋_GB2312" w:hAnsi="仿宋_GB2312" w:cs="仿宋_GB2312"/>
                <w:sz w:val="24"/>
                <w:szCs w:val="24"/>
              </w:rPr>
              <w:t>安全科技</w:t>
            </w:r>
          </w:p>
        </w:tc>
        <w:tc>
          <w:tcPr>
            <w:tcW w:w="4815" w:type="dxa"/>
            <w:vAlign w:val="center"/>
          </w:tcPr>
          <w:p w14:paraId="06F6260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s="仿宋_GB2312"/>
                <w:sz w:val="24"/>
                <w:szCs w:val="24"/>
              </w:rPr>
            </w:pPr>
            <w:r>
              <w:rPr>
                <w:rFonts w:hint="eastAsia" w:ascii="仿宋_GB2312" w:hAnsi="仿宋_GB2312" w:cs="仿宋_GB2312"/>
                <w:sz w:val="24"/>
                <w:szCs w:val="24"/>
              </w:rPr>
              <w:t>年底前，推动一批国保单位安防消防项目建设，提升文物的安全防范能力。</w:t>
            </w:r>
          </w:p>
        </w:tc>
        <w:tc>
          <w:tcPr>
            <w:tcW w:w="1995" w:type="dxa"/>
            <w:vAlign w:val="center"/>
          </w:tcPr>
          <w:p w14:paraId="4746D0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文化站</w:t>
            </w:r>
          </w:p>
        </w:tc>
        <w:tc>
          <w:tcPr>
            <w:tcW w:w="2169" w:type="dxa"/>
            <w:vAlign w:val="center"/>
          </w:tcPr>
          <w:p w14:paraId="37232C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负责文旅工作的领导</w:t>
            </w:r>
          </w:p>
        </w:tc>
      </w:tr>
      <w:tr w14:paraId="01EC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0" w:type="dxa"/>
            <w:vAlign w:val="center"/>
          </w:tcPr>
          <w:p w14:paraId="63D9AF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ascii="仿宋_GB2312" w:hAnsi="仿宋_GB2312" w:cs="仿宋_GB2312"/>
                <w:sz w:val="24"/>
                <w:szCs w:val="24"/>
              </w:rPr>
              <w:t>3</w:t>
            </w:r>
          </w:p>
        </w:tc>
        <w:tc>
          <w:tcPr>
            <w:tcW w:w="3291" w:type="dxa"/>
            <w:vAlign w:val="center"/>
          </w:tcPr>
          <w:p w14:paraId="5BE9F3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强化文物安全责任制</w:t>
            </w:r>
          </w:p>
        </w:tc>
        <w:tc>
          <w:tcPr>
            <w:tcW w:w="1200" w:type="dxa"/>
            <w:vAlign w:val="center"/>
          </w:tcPr>
          <w:p w14:paraId="7AE2752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cs="仿宋_GB2312"/>
                <w:sz w:val="24"/>
                <w:szCs w:val="24"/>
              </w:rPr>
            </w:pPr>
            <w:r>
              <w:rPr>
                <w:rFonts w:hint="eastAsia" w:ascii="仿宋_GB2312" w:hAnsi="仿宋_GB2312" w:cs="仿宋_GB2312"/>
                <w:sz w:val="24"/>
                <w:szCs w:val="24"/>
              </w:rPr>
              <w:t>安全责任</w:t>
            </w:r>
          </w:p>
        </w:tc>
        <w:tc>
          <w:tcPr>
            <w:tcW w:w="4815" w:type="dxa"/>
            <w:vAlign w:val="center"/>
          </w:tcPr>
          <w:p w14:paraId="517DCEA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s="仿宋_GB2312"/>
                <w:sz w:val="24"/>
                <w:szCs w:val="24"/>
              </w:rPr>
            </w:pPr>
            <w:r>
              <w:rPr>
                <w:rFonts w:hint="eastAsia" w:ascii="仿宋_GB2312" w:hAnsi="仿宋_GB2312" w:cs="仿宋_GB2312"/>
                <w:sz w:val="24"/>
                <w:szCs w:val="24"/>
              </w:rPr>
              <w:t>年底前，推动完成市保单位由属地政府主要负责人为第一责任人的文物安全责任人制度并完成备案公示。</w:t>
            </w:r>
          </w:p>
        </w:tc>
        <w:tc>
          <w:tcPr>
            <w:tcW w:w="1995" w:type="dxa"/>
            <w:vAlign w:val="center"/>
          </w:tcPr>
          <w:p w14:paraId="0B5BDE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文化站</w:t>
            </w:r>
          </w:p>
        </w:tc>
        <w:tc>
          <w:tcPr>
            <w:tcW w:w="2169" w:type="dxa"/>
            <w:vAlign w:val="center"/>
          </w:tcPr>
          <w:p w14:paraId="22F299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负责文旅工作的领导</w:t>
            </w:r>
          </w:p>
        </w:tc>
      </w:tr>
      <w:tr w14:paraId="209F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870" w:type="dxa"/>
            <w:vAlign w:val="center"/>
          </w:tcPr>
          <w:p w14:paraId="7D7331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ascii="仿宋_GB2312" w:hAnsi="仿宋_GB2312" w:cs="仿宋_GB2312"/>
                <w:sz w:val="24"/>
                <w:szCs w:val="24"/>
              </w:rPr>
              <w:t>4</w:t>
            </w:r>
          </w:p>
        </w:tc>
        <w:tc>
          <w:tcPr>
            <w:tcW w:w="3291" w:type="dxa"/>
            <w:vAlign w:val="center"/>
          </w:tcPr>
          <w:p w14:paraId="5C04DA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配合上级开展智慧消防平台建设</w:t>
            </w:r>
          </w:p>
        </w:tc>
        <w:tc>
          <w:tcPr>
            <w:tcW w:w="1200" w:type="dxa"/>
            <w:vAlign w:val="center"/>
          </w:tcPr>
          <w:p w14:paraId="3D74E2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安全科技</w:t>
            </w:r>
          </w:p>
        </w:tc>
        <w:tc>
          <w:tcPr>
            <w:tcW w:w="4815" w:type="dxa"/>
            <w:vAlign w:val="center"/>
          </w:tcPr>
          <w:p w14:paraId="1458D18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s="仿宋_GB2312"/>
                <w:sz w:val="24"/>
                <w:szCs w:val="24"/>
              </w:rPr>
            </w:pPr>
            <w:r>
              <w:rPr>
                <w:rFonts w:hint="eastAsia" w:ascii="仿宋_GB2312" w:hAnsi="仿宋_GB2312" w:cs="仿宋_GB2312"/>
                <w:sz w:val="24"/>
                <w:szCs w:val="24"/>
              </w:rPr>
              <w:t>深化“智慧消防”平台建设应用，将“智慧消防”纳入“数字福建”建设，建设消防物联感知中心，鼓励社会单位将消防设施接入市消防物联网感知系统，规范落实消控室值班制度，强化火灾风险分析研判、早期识别和监测预警。年底前，完成消防物联感知中心建设，实现重点行业较大规模企业火灾风险预测应用系统全覆盖。</w:t>
            </w:r>
          </w:p>
        </w:tc>
        <w:tc>
          <w:tcPr>
            <w:tcW w:w="1995" w:type="dxa"/>
            <w:vAlign w:val="center"/>
          </w:tcPr>
          <w:p w14:paraId="46687B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消防工作站</w:t>
            </w:r>
          </w:p>
        </w:tc>
        <w:tc>
          <w:tcPr>
            <w:tcW w:w="2169" w:type="dxa"/>
            <w:vAlign w:val="center"/>
          </w:tcPr>
          <w:p w14:paraId="73308F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负责消防工作的领导</w:t>
            </w:r>
          </w:p>
        </w:tc>
      </w:tr>
      <w:tr w14:paraId="6121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870" w:type="dxa"/>
            <w:vAlign w:val="center"/>
          </w:tcPr>
          <w:p w14:paraId="1A8F60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ascii="仿宋_GB2312" w:hAnsi="仿宋_GB2312" w:cs="仿宋_GB2312"/>
                <w:sz w:val="24"/>
                <w:szCs w:val="24"/>
              </w:rPr>
              <w:t>5</w:t>
            </w:r>
          </w:p>
        </w:tc>
        <w:tc>
          <w:tcPr>
            <w:tcW w:w="3291" w:type="dxa"/>
            <w:vAlign w:val="center"/>
          </w:tcPr>
          <w:p w14:paraId="064B68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全生命周期消防安全宣传教育培训</w:t>
            </w:r>
          </w:p>
        </w:tc>
        <w:tc>
          <w:tcPr>
            <w:tcW w:w="1200" w:type="dxa"/>
            <w:vAlign w:val="center"/>
          </w:tcPr>
          <w:p w14:paraId="2A1A11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安全素质</w:t>
            </w:r>
          </w:p>
        </w:tc>
        <w:tc>
          <w:tcPr>
            <w:tcW w:w="4815" w:type="dxa"/>
            <w:vAlign w:val="center"/>
          </w:tcPr>
          <w:p w14:paraId="6E38CC7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s="仿宋_GB2312"/>
                <w:sz w:val="24"/>
                <w:szCs w:val="24"/>
              </w:rPr>
            </w:pPr>
            <w:r>
              <w:rPr>
                <w:rFonts w:hint="eastAsia" w:ascii="仿宋_GB2312" w:hAnsi="仿宋_GB2312" w:cs="仿宋_GB2312"/>
                <w:sz w:val="24"/>
                <w:szCs w:val="24"/>
              </w:rPr>
              <w:t>年底前，各行业系统完成普通员工</w:t>
            </w:r>
            <w:r>
              <w:rPr>
                <w:rFonts w:ascii="仿宋_GB2312" w:hAnsi="仿宋_GB2312" w:cs="仿宋_GB2312"/>
                <w:sz w:val="24"/>
                <w:szCs w:val="24"/>
              </w:rPr>
              <w:t>100%</w:t>
            </w:r>
            <w:r>
              <w:rPr>
                <w:rFonts w:hint="eastAsia" w:ascii="仿宋_GB2312" w:hAnsi="仿宋_GB2312" w:cs="仿宋_GB2312"/>
                <w:sz w:val="24"/>
                <w:szCs w:val="24"/>
              </w:rPr>
              <w:t>的“一教一练”工作；沿街店面、小场所和居家群体“一看一单一讲一查”工作广泛覆盖，特殊重点人群做到</w:t>
            </w:r>
            <w:r>
              <w:rPr>
                <w:rFonts w:ascii="仿宋_GB2312" w:hAnsi="仿宋_GB2312" w:cs="仿宋_GB2312"/>
                <w:sz w:val="24"/>
                <w:szCs w:val="24"/>
              </w:rPr>
              <w:t>100%</w:t>
            </w:r>
            <w:r>
              <w:rPr>
                <w:rFonts w:hint="eastAsia" w:ascii="仿宋_GB2312" w:hAnsi="仿宋_GB2312" w:cs="仿宋_GB2312"/>
                <w:sz w:val="24"/>
                <w:szCs w:val="24"/>
              </w:rPr>
              <w:t>覆盖。</w:t>
            </w:r>
          </w:p>
        </w:tc>
        <w:tc>
          <w:tcPr>
            <w:tcW w:w="1995" w:type="dxa"/>
            <w:vAlign w:val="center"/>
          </w:tcPr>
          <w:p w14:paraId="54454D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消防工作站</w:t>
            </w:r>
          </w:p>
        </w:tc>
        <w:tc>
          <w:tcPr>
            <w:tcW w:w="2169" w:type="dxa"/>
            <w:vAlign w:val="center"/>
          </w:tcPr>
          <w:p w14:paraId="78527A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负责消防工作的领导</w:t>
            </w:r>
          </w:p>
        </w:tc>
      </w:tr>
      <w:tr w14:paraId="7D99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870" w:type="dxa"/>
            <w:vAlign w:val="center"/>
          </w:tcPr>
          <w:p w14:paraId="2283BA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ascii="仿宋_GB2312" w:hAnsi="仿宋_GB2312" w:cs="仿宋_GB2312"/>
                <w:sz w:val="24"/>
                <w:szCs w:val="24"/>
              </w:rPr>
              <w:t>6</w:t>
            </w:r>
          </w:p>
        </w:tc>
        <w:tc>
          <w:tcPr>
            <w:tcW w:w="3291" w:type="dxa"/>
            <w:vAlign w:val="center"/>
          </w:tcPr>
          <w:p w14:paraId="2F7320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开展生产经营单位从业人员安全素质能力提升行动</w:t>
            </w:r>
          </w:p>
        </w:tc>
        <w:tc>
          <w:tcPr>
            <w:tcW w:w="1200" w:type="dxa"/>
            <w:vAlign w:val="center"/>
          </w:tcPr>
          <w:p w14:paraId="052FAC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安全素质</w:t>
            </w:r>
          </w:p>
        </w:tc>
        <w:tc>
          <w:tcPr>
            <w:tcW w:w="4815" w:type="dxa"/>
            <w:vAlign w:val="center"/>
          </w:tcPr>
          <w:p w14:paraId="6BD4954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s="仿宋_GB2312"/>
                <w:sz w:val="24"/>
                <w:szCs w:val="24"/>
              </w:rPr>
            </w:pPr>
            <w:r>
              <w:rPr>
                <w:rFonts w:hint="eastAsia" w:ascii="仿宋_GB2312" w:hAnsi="仿宋_GB2312" w:cs="仿宋_GB2312"/>
                <w:sz w:val="24"/>
                <w:szCs w:val="24"/>
              </w:rPr>
              <w:t>年底前，推动特种作业人员持证上岗。</w:t>
            </w:r>
          </w:p>
        </w:tc>
        <w:tc>
          <w:tcPr>
            <w:tcW w:w="1995" w:type="dxa"/>
            <w:vAlign w:val="center"/>
          </w:tcPr>
          <w:p w14:paraId="57FCC0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各有关部门</w:t>
            </w:r>
          </w:p>
        </w:tc>
        <w:tc>
          <w:tcPr>
            <w:tcW w:w="2169" w:type="dxa"/>
            <w:vAlign w:val="center"/>
          </w:tcPr>
          <w:p w14:paraId="1C065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负责应急管理工作的领导</w:t>
            </w:r>
          </w:p>
        </w:tc>
      </w:tr>
      <w:tr w14:paraId="146D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870" w:type="dxa"/>
            <w:vAlign w:val="center"/>
          </w:tcPr>
          <w:p w14:paraId="17FC2A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ascii="仿宋_GB2312" w:hAnsi="仿宋_GB2312" w:cs="仿宋_GB2312"/>
                <w:sz w:val="24"/>
                <w:szCs w:val="24"/>
              </w:rPr>
              <w:t>7</w:t>
            </w:r>
          </w:p>
        </w:tc>
        <w:tc>
          <w:tcPr>
            <w:tcW w:w="3291" w:type="dxa"/>
            <w:vAlign w:val="center"/>
          </w:tcPr>
          <w:p w14:paraId="4F281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实施基层应急能力提升工程</w:t>
            </w:r>
          </w:p>
        </w:tc>
        <w:tc>
          <w:tcPr>
            <w:tcW w:w="1200" w:type="dxa"/>
            <w:vAlign w:val="center"/>
          </w:tcPr>
          <w:p w14:paraId="4592CF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安全素质</w:t>
            </w:r>
          </w:p>
        </w:tc>
        <w:tc>
          <w:tcPr>
            <w:tcW w:w="4815" w:type="dxa"/>
            <w:vAlign w:val="center"/>
          </w:tcPr>
          <w:p w14:paraId="595A645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s="仿宋_GB2312"/>
                <w:sz w:val="24"/>
                <w:szCs w:val="24"/>
              </w:rPr>
            </w:pPr>
            <w:r>
              <w:rPr>
                <w:rFonts w:hint="eastAsia" w:ascii="仿宋_GB2312" w:hAnsi="仿宋_GB2312" w:cs="仿宋_GB2312"/>
                <w:sz w:val="24"/>
                <w:szCs w:val="24"/>
              </w:rPr>
              <w:t>在全乡组织应急能力培训</w:t>
            </w:r>
            <w:r>
              <w:rPr>
                <w:rFonts w:ascii="仿宋_GB2312" w:hAnsi="仿宋_GB2312" w:cs="仿宋_GB2312"/>
                <w:sz w:val="24"/>
                <w:szCs w:val="24"/>
              </w:rPr>
              <w:t>1</w:t>
            </w:r>
            <w:r>
              <w:rPr>
                <w:rFonts w:hint="eastAsia" w:ascii="仿宋_GB2312" w:hAnsi="仿宋_GB2312" w:cs="仿宋_GB2312"/>
                <w:sz w:val="24"/>
                <w:szCs w:val="24"/>
              </w:rPr>
              <w:t>场、组织基层应急演练</w:t>
            </w:r>
            <w:r>
              <w:rPr>
                <w:rFonts w:ascii="仿宋_GB2312" w:hAnsi="仿宋_GB2312" w:cs="仿宋_GB2312"/>
                <w:sz w:val="24"/>
                <w:szCs w:val="24"/>
              </w:rPr>
              <w:t>1</w:t>
            </w:r>
            <w:r>
              <w:rPr>
                <w:rFonts w:hint="eastAsia" w:ascii="仿宋_GB2312" w:hAnsi="仿宋_GB2312" w:cs="仿宋_GB2312"/>
                <w:sz w:val="24"/>
                <w:szCs w:val="24"/>
              </w:rPr>
              <w:t>场。</w:t>
            </w:r>
          </w:p>
        </w:tc>
        <w:tc>
          <w:tcPr>
            <w:tcW w:w="1995" w:type="dxa"/>
            <w:vAlign w:val="center"/>
          </w:tcPr>
          <w:p w14:paraId="17583D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安办</w:t>
            </w:r>
          </w:p>
        </w:tc>
        <w:tc>
          <w:tcPr>
            <w:tcW w:w="2169" w:type="dxa"/>
            <w:vAlign w:val="center"/>
          </w:tcPr>
          <w:p w14:paraId="400F73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负责应急管理工作的领导</w:t>
            </w:r>
          </w:p>
        </w:tc>
      </w:tr>
      <w:tr w14:paraId="19DE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70" w:type="dxa"/>
            <w:vAlign w:val="center"/>
          </w:tcPr>
          <w:p w14:paraId="6C9D18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ascii="仿宋_GB2312" w:hAnsi="仿宋_GB2312" w:cs="仿宋_GB2312"/>
                <w:sz w:val="24"/>
                <w:szCs w:val="24"/>
              </w:rPr>
              <w:t>8</w:t>
            </w:r>
          </w:p>
        </w:tc>
        <w:tc>
          <w:tcPr>
            <w:tcW w:w="3291" w:type="dxa"/>
            <w:vAlign w:val="center"/>
          </w:tcPr>
          <w:p w14:paraId="44B77D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安全生产标准化提升工程</w:t>
            </w:r>
          </w:p>
        </w:tc>
        <w:tc>
          <w:tcPr>
            <w:tcW w:w="1200" w:type="dxa"/>
            <w:vAlign w:val="center"/>
          </w:tcPr>
          <w:p w14:paraId="6F536F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安全工程</w:t>
            </w:r>
          </w:p>
        </w:tc>
        <w:tc>
          <w:tcPr>
            <w:tcW w:w="4815" w:type="dxa"/>
            <w:vAlign w:val="center"/>
          </w:tcPr>
          <w:p w14:paraId="0CDA027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s="仿宋_GB2312"/>
                <w:sz w:val="24"/>
                <w:szCs w:val="24"/>
              </w:rPr>
            </w:pPr>
            <w:r>
              <w:rPr>
                <w:rFonts w:ascii="仿宋_GB2312" w:hAnsi="仿宋_GB2312" w:cs="仿宋_GB2312"/>
                <w:sz w:val="24"/>
                <w:szCs w:val="24"/>
              </w:rPr>
              <w:t>2025</w:t>
            </w:r>
            <w:r>
              <w:rPr>
                <w:rFonts w:hint="eastAsia" w:ascii="仿宋_GB2312" w:hAnsi="仿宋_GB2312" w:cs="仿宋_GB2312"/>
                <w:sz w:val="24"/>
                <w:szCs w:val="24"/>
              </w:rPr>
              <w:t>年底前，全乡至少打造基层操作标准化达标岗位</w:t>
            </w:r>
            <w:r>
              <w:rPr>
                <w:rFonts w:ascii="仿宋_GB2312" w:hAnsi="仿宋_GB2312" w:cs="仿宋_GB2312"/>
                <w:sz w:val="24"/>
                <w:szCs w:val="24"/>
              </w:rPr>
              <w:t>1</w:t>
            </w:r>
            <w:r>
              <w:rPr>
                <w:rFonts w:hint="eastAsia" w:ascii="仿宋_GB2312" w:hAnsi="仿宋_GB2312" w:cs="仿宋_GB2312"/>
                <w:sz w:val="24"/>
                <w:szCs w:val="24"/>
              </w:rPr>
              <w:t>个。</w:t>
            </w:r>
          </w:p>
        </w:tc>
        <w:tc>
          <w:tcPr>
            <w:tcW w:w="1995" w:type="dxa"/>
            <w:vAlign w:val="center"/>
          </w:tcPr>
          <w:p w14:paraId="46B329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安办</w:t>
            </w:r>
          </w:p>
        </w:tc>
        <w:tc>
          <w:tcPr>
            <w:tcW w:w="2169" w:type="dxa"/>
            <w:vAlign w:val="center"/>
          </w:tcPr>
          <w:p w14:paraId="72215E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szCs w:val="24"/>
              </w:rPr>
            </w:pPr>
            <w:r>
              <w:rPr>
                <w:rFonts w:hint="eastAsia" w:ascii="仿宋_GB2312" w:hAnsi="仿宋_GB2312" w:cs="仿宋_GB2312"/>
                <w:sz w:val="24"/>
                <w:szCs w:val="24"/>
              </w:rPr>
              <w:t>负责安全生产工作的领导</w:t>
            </w:r>
          </w:p>
        </w:tc>
      </w:tr>
    </w:tbl>
    <w:p w14:paraId="5CDCE1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仿宋简体"/>
          <w:sz w:val="24"/>
          <w:szCs w:val="24"/>
        </w:rPr>
      </w:pPr>
    </w:p>
    <w:p w14:paraId="33FF9AF4">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C03DBDB">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F90C0A1">
      <w:pPr>
        <w:keepNext w:val="0"/>
        <w:keepLines w:val="0"/>
        <w:pageBreakBefore w:val="0"/>
        <w:widowControl w:val="0"/>
        <w:kinsoku/>
        <w:wordWrap/>
        <w:overflowPunct/>
        <w:topLinePunct w:val="0"/>
        <w:autoSpaceDE/>
        <w:autoSpaceDN/>
        <w:bidi w:val="0"/>
        <w:adjustRightInd/>
        <w:snapToGrid/>
        <w:spacing w:line="560" w:lineRule="exact"/>
        <w:textAlignment w:val="auto"/>
      </w:pPr>
    </w:p>
    <w:p w14:paraId="474E12E5">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90193D7">
      <w:pPr>
        <w:keepNext w:val="0"/>
        <w:keepLines w:val="0"/>
        <w:pageBreakBefore w:val="0"/>
        <w:widowControl w:val="0"/>
        <w:kinsoku/>
        <w:wordWrap/>
        <w:overflowPunct/>
        <w:topLinePunct w:val="0"/>
        <w:autoSpaceDE/>
        <w:autoSpaceDN/>
        <w:bidi w:val="0"/>
        <w:adjustRightInd/>
        <w:snapToGrid/>
        <w:spacing w:line="560" w:lineRule="exact"/>
        <w:textAlignment w:val="auto"/>
      </w:pPr>
    </w:p>
    <w:p w14:paraId="04B7EEF8">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6838" w:h="11906" w:orient="landscape"/>
      <w:pgMar w:top="1803" w:right="1440" w:bottom="1803" w:left="1440" w:header="851" w:footer="992"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0000000000000000000"/>
    <w:charset w:val="86"/>
    <w:family w:val="auto"/>
    <w:pitch w:val="default"/>
    <w:sig w:usb0="00000000" w:usb1="00000000" w:usb2="00000010" w:usb3="00000000" w:csb0="00040000" w:csb1="00000000"/>
  </w:font>
  <w:font w:name="方正兰亭超细黑简体">
    <w:altName w:val="黑体"/>
    <w:panose1 w:val="00000000000000000000"/>
    <w:charset w:val="00"/>
    <w:family w:val="auto"/>
    <w:pitch w:val="default"/>
    <w:sig w:usb0="00000000" w:usb1="00000000" w:usb2="00000000" w:usb3="00000000" w:csb0="0000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C93BD">
    <w:pPr>
      <w:snapToGrid w:val="0"/>
      <w:jc w:val="left"/>
      <w:rPr>
        <w:rFonts w:ascii="Calibri" w:hAnsi="Calibri" w:eastAsia="宋体"/>
        <w:sz w:val="18"/>
        <w:szCs w:val="24"/>
      </w:rPr>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45C9B2B">
                <w:pPr>
                  <w:snapToGrid w:val="0"/>
                  <w:jc w:val="left"/>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8</w:t>
                </w:r>
                <w:r>
                  <w:rPr>
                    <w:rFonts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218"/>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E195282"/>
    <w:rsid w:val="00052394"/>
    <w:rsid w:val="00105AA7"/>
    <w:rsid w:val="00122123"/>
    <w:rsid w:val="00144C7D"/>
    <w:rsid w:val="00165A70"/>
    <w:rsid w:val="001C58DC"/>
    <w:rsid w:val="001E6AB8"/>
    <w:rsid w:val="002359D1"/>
    <w:rsid w:val="00277CFF"/>
    <w:rsid w:val="002A5DAA"/>
    <w:rsid w:val="003D4601"/>
    <w:rsid w:val="0041454D"/>
    <w:rsid w:val="004B7440"/>
    <w:rsid w:val="005335B8"/>
    <w:rsid w:val="00623217"/>
    <w:rsid w:val="00626057"/>
    <w:rsid w:val="00636932"/>
    <w:rsid w:val="007615F4"/>
    <w:rsid w:val="007F07F8"/>
    <w:rsid w:val="008211C3"/>
    <w:rsid w:val="00835B4E"/>
    <w:rsid w:val="008371AD"/>
    <w:rsid w:val="008553E3"/>
    <w:rsid w:val="008944EB"/>
    <w:rsid w:val="00910782"/>
    <w:rsid w:val="00A82B06"/>
    <w:rsid w:val="00A83DA1"/>
    <w:rsid w:val="00B55198"/>
    <w:rsid w:val="00B633CB"/>
    <w:rsid w:val="00B925D4"/>
    <w:rsid w:val="00C320FC"/>
    <w:rsid w:val="00C80454"/>
    <w:rsid w:val="00D237A4"/>
    <w:rsid w:val="00DF53E6"/>
    <w:rsid w:val="00E63FCD"/>
    <w:rsid w:val="00F51EC6"/>
    <w:rsid w:val="03353615"/>
    <w:rsid w:val="05583E36"/>
    <w:rsid w:val="084F009E"/>
    <w:rsid w:val="087B5F6E"/>
    <w:rsid w:val="0D0C188A"/>
    <w:rsid w:val="0D343C0C"/>
    <w:rsid w:val="0DF77E44"/>
    <w:rsid w:val="10611EED"/>
    <w:rsid w:val="14F06893"/>
    <w:rsid w:val="16092579"/>
    <w:rsid w:val="16E92565"/>
    <w:rsid w:val="197D6787"/>
    <w:rsid w:val="21222FD3"/>
    <w:rsid w:val="231734D0"/>
    <w:rsid w:val="236F0783"/>
    <w:rsid w:val="23CD5478"/>
    <w:rsid w:val="246661F1"/>
    <w:rsid w:val="26A00BFC"/>
    <w:rsid w:val="29384B6F"/>
    <w:rsid w:val="304D1952"/>
    <w:rsid w:val="31B45EC9"/>
    <w:rsid w:val="34993154"/>
    <w:rsid w:val="3617143A"/>
    <w:rsid w:val="36541A28"/>
    <w:rsid w:val="371B7FAD"/>
    <w:rsid w:val="3B9F3F21"/>
    <w:rsid w:val="3C502C92"/>
    <w:rsid w:val="3CFD1536"/>
    <w:rsid w:val="3D121CF5"/>
    <w:rsid w:val="3D537BEC"/>
    <w:rsid w:val="3DB66806"/>
    <w:rsid w:val="3EF9123F"/>
    <w:rsid w:val="3F177A97"/>
    <w:rsid w:val="41A06FEC"/>
    <w:rsid w:val="42497F67"/>
    <w:rsid w:val="44986F84"/>
    <w:rsid w:val="4800731A"/>
    <w:rsid w:val="49A95790"/>
    <w:rsid w:val="49E55BB5"/>
    <w:rsid w:val="4E195282"/>
    <w:rsid w:val="4EFD2083"/>
    <w:rsid w:val="4FF5323A"/>
    <w:rsid w:val="50125E3D"/>
    <w:rsid w:val="545D2542"/>
    <w:rsid w:val="54E2752D"/>
    <w:rsid w:val="554A7E27"/>
    <w:rsid w:val="56755377"/>
    <w:rsid w:val="58A253FD"/>
    <w:rsid w:val="59A13190"/>
    <w:rsid w:val="5B316837"/>
    <w:rsid w:val="5C062A1B"/>
    <w:rsid w:val="6197778C"/>
    <w:rsid w:val="696E486D"/>
    <w:rsid w:val="700C7EB2"/>
    <w:rsid w:val="70A95EF1"/>
    <w:rsid w:val="73C05A2C"/>
    <w:rsid w:val="741D799C"/>
    <w:rsid w:val="75E34125"/>
    <w:rsid w:val="78BD69DE"/>
    <w:rsid w:val="7A0404E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1"/>
    <w:link w:val="8"/>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Balloon Text Char"/>
    <w:basedOn w:val="7"/>
    <w:link w:val="2"/>
    <w:semiHidden/>
    <w:uiPriority w:val="99"/>
    <w:rPr>
      <w:rFonts w:eastAsia="仿宋_GB2312"/>
      <w:sz w:val="0"/>
      <w:szCs w:val="0"/>
    </w:rPr>
  </w:style>
  <w:style w:type="character" w:customStyle="1" w:styleId="9">
    <w:name w:val="Footer Char"/>
    <w:basedOn w:val="7"/>
    <w:link w:val="3"/>
    <w:semiHidden/>
    <w:uiPriority w:val="99"/>
    <w:rPr>
      <w:rFonts w:eastAsia="仿宋_GB2312"/>
      <w:sz w:val="18"/>
      <w:szCs w:val="18"/>
    </w:rPr>
  </w:style>
  <w:style w:type="character" w:customStyle="1" w:styleId="10">
    <w:name w:val="Header Char"/>
    <w:basedOn w:val="7"/>
    <w:link w:val="4"/>
    <w:semiHidden/>
    <w:qFormat/>
    <w:uiPriority w:val="99"/>
    <w:rPr>
      <w:rFonts w:eastAsia="仿宋_GB2312"/>
      <w:sz w:val="18"/>
      <w:szCs w:val="18"/>
    </w:rPr>
  </w:style>
  <w:style w:type="character" w:customStyle="1" w:styleId="11">
    <w:name w:val="样式 仿宋_GB23121"/>
    <w:uiPriority w:val="99"/>
    <w:rPr>
      <w:rFonts w:ascii="仿宋_GB2312" w:hAnsi="仿宋_GB2312" w:eastAsia="仿宋_GB2312"/>
      <w:sz w:val="32"/>
    </w:rPr>
  </w:style>
  <w:style w:type="character" w:customStyle="1" w:styleId="12">
    <w:name w:val="样式 仿宋_GB2312"/>
    <w:qFormat/>
    <w:uiPriority w:val="99"/>
    <w:rPr>
      <w:rFonts w:ascii="仿宋_GB2312" w:hAnsi="仿宋_GB2312"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11</Pages>
  <Words>4191</Words>
  <Characters>4233</Characters>
  <Lines>0</Lines>
  <Paragraphs>0</Paragraphs>
  <TotalTime>139</TotalTime>
  <ScaleCrop>false</ScaleCrop>
  <LinksUpToDate>false</LinksUpToDate>
  <CharactersWithSpaces>4236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2025-03-04T01:14:00Z</dcterms:created>
  <dc:creator>龙的传人</dc:creator>
  <cp:lastModifiedBy>WPS_1482310840</cp:lastModifiedBy>
  <cp:lastPrinted>2025-05-22T07:42:17Z</cp:lastPrinted>
  <dcterms:modified xsi:type="dcterms:W3CDTF">2025-05-22T07:42:22Z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2813387ADAF84C85ABFE810CFE4A8B94_13</vt:lpwstr>
  </property>
  <property fmtid="{D5CDD505-2E9C-101B-9397-08002B2CF9AE}" pid="4" name="KSOTemplateDocerSaveRecord">
    <vt:lpwstr>eyJoZGlkIjoiMzNmYzk1M2ZmNzQwOGEwNDhlMTllYTVjMjkxMGUxOGUiLCJ1c2VySWQiOiIyNTc3NzMwMDIifQ==</vt:lpwstr>
  </property>
</Properties>
</file>